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right"/>
        <w:rPr/>
      </w:pPr>
      <w:r w:rsidDel="00000000" w:rsidR="00000000" w:rsidRPr="00000000">
        <w:rPr/>
        <w:drawing>
          <wp:inline distB="0" distT="0" distL="0" distR="0">
            <wp:extent cx="1143000" cy="228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7fda6f" w:space="6" w:sz="18" w:val="single"/>
        </w:pBdr>
        <w:spacing w:after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3e42"/>
          <w:sz w:val="44"/>
          <w:szCs w:val="44"/>
          <w:rtl w:val="0"/>
        </w:rPr>
        <w:t xml:space="preserve">Employee Onboarding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i w:val="1"/>
          <w:iCs w:val="1"/>
          <w:color w:val="4a4a4a"/>
          <w:sz w:val="24"/>
          <w:szCs w:val="24"/>
          <w:rtl w:val="0"/>
        </w:rPr>
        <w:t xml:space="preserve">An adaptable template for the first day, first week, and first 90 days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New Hire: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Start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Role / Dept: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Manager: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Buddy / Mentor: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HR Contact: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/>
      </w:pPr>
      <w:r w:rsidDel="00000000" w:rsidR="00000000" w:rsidRPr="00000000">
        <w:rPr>
          <w:i w:val="1"/>
          <w:iCs w:val="1"/>
          <w:color w:val="4a4a4a"/>
          <w:rtl w:val="0"/>
        </w:rPr>
        <w:t xml:space="preserve">How to use this template: Assign an owner to each task, check items off as they are completed, and adapt or delete rows to match the role, location, and your company culture.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Before Day One: Preboarding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660"/>
        <w:gridCol w:w="1800"/>
        <w:tblGridChange w:id="0">
          <w:tblGrid>
            <w:gridCol w:w="900"/>
            <w:gridCol w:w="66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b3e4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Send welcome email (start date, time, location/link, dress code, what to bring)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Provision IT: laptop, accounts, software licenses, email,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Create logins and grant system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Prepare workspace, badge, parking, and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Send new-hire paperwork in advance (tax forms, direct deposit, policy acknowledgments)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Add employee to payroll and benefits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Notify the team of the 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Assign an onboarding buddy or mentor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Schedule first-day agenda and first-week meetings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First Day: Make Them Feel Expected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660"/>
        <w:gridCol w:w="1800"/>
        <w:tblGridChange w:id="0">
          <w:tblGrid>
            <w:gridCol w:w="900"/>
            <w:gridCol w:w="66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b3e4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Greet the new hire and give a workspace or virtual tour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Walk through the day's agenda and the week ahead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Complete remaining HR paperwork; verify I-9 and tax documentation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Set up and test all tools, logins, and communication channels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Review security, building access, and emergency procedures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Introduce the team, buddy, and key cross-functional contacts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Review role, immediate expectations, and where to ask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Host a team or manager lunch to build rapport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End-of-day check-in with the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First Week: Build Context and Connection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660"/>
        <w:gridCol w:w="1800"/>
        <w:tblGridChange w:id="0">
          <w:tblGrid>
            <w:gridCol w:w="900"/>
            <w:gridCol w:w="66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b3e4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Schedule short intro meetings with key teammates and 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Present company mission, values, and current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Walk through core tools, systems, and daily workflows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Review department structure and how the role fits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Assign a small, achievable first task to build momentum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Set up recurring one-on-ones with the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Document 30/60/90-day expectations in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Confirm that the new hire knows where to find documentation and help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End-of-week check-in to surface barriers to their 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rPr/>
      </w:pPr>
      <w:r w:rsidDel="00000000" w:rsidR="00000000" w:rsidRPr="00000000">
        <w:rPr>
          <w:rtl w:val="0"/>
        </w:rPr>
        <w:t xml:space="preserve">Days 1–30: Foundation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660"/>
        <w:gridCol w:w="1800"/>
        <w:tblGridChange w:id="0">
          <w:tblGrid>
            <w:gridCol w:w="900"/>
            <w:gridCol w:w="66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b3e4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Confirm that the new hire understands core responsibilities and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Set clear, measurable short-term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Hold weekly one-on-ones focused on questions and removing obstacles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Complete required compliance and role-specific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Gather first impressions and address onboarding gaps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rPr/>
      </w:pPr>
      <w:r w:rsidDel="00000000" w:rsidR="00000000" w:rsidRPr="00000000">
        <w:rPr>
          <w:rtl w:val="0"/>
        </w:rPr>
        <w:t xml:space="preserve">Days 31–60: Integration</w:t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660"/>
        <w:gridCol w:w="1800"/>
        <w:tblGridChange w:id="0">
          <w:tblGrid>
            <w:gridCol w:w="900"/>
            <w:gridCol w:w="66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b3e4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Increase responsibility and reduce hand-holding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Introduce stretch tasks and cross-functional 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Provide structured feedback on early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Confirm that the new hire feels connected to team and 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Review progress against 30-day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rPr/>
      </w:pPr>
      <w:r w:rsidDel="00000000" w:rsidR="00000000" w:rsidRPr="00000000">
        <w:rPr>
          <w:rtl w:val="0"/>
        </w:rPr>
        <w:t xml:space="preserve">Days 61–90: Contribution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660"/>
        <w:gridCol w:w="1800"/>
        <w:tblGridChange w:id="0">
          <w:tblGrid>
            <w:gridCol w:w="900"/>
            <w:gridCol w:w="66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b3e42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7fda6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3b3e42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Set longer-term performance goals aligned with team 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Conduct a formal 90-day review (wins, growth areas, support needs)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Discuss professional development goals and career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Solicit candid feedback on the onboarding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2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3b3e42"/>
                <w:rtl w:val="0"/>
              </w:rPr>
              <w:t xml:space="preserve">Confirm mutual fit and next-quarter priorities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3e4" w:space="0" w:sz="4" w:val="single"/>
              <w:left w:color="e2e3e4" w:space="0" w:sz="4" w:val="single"/>
              <w:bottom w:color="e2e3e4" w:space="0" w:sz="4" w:val="single"/>
              <w:right w:color="e2e3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rPr/>
      </w:pPr>
      <w:r w:rsidDel="00000000" w:rsidR="00000000" w:rsidRPr="00000000">
        <w:rPr>
          <w:rtl w:val="0"/>
        </w:rPr>
        <w:t xml:space="preserve">Notes &amp; Action Items</w:t>
      </w:r>
    </w:p>
    <w:p w:rsidR="00000000" w:rsidDel="00000000" w:rsidP="00000000" w:rsidRDefault="00000000" w:rsidRPr="00000000" w14:paraId="000000B1">
      <w:pPr>
        <w:pBdr>
          <w:bottom w:color="e2e3e4" w:space="4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bottom w:color="e2e3e4" w:space="4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bottom w:color="e2e3e4" w:space="4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bottom w:color="e2e3e4" w:space="4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bottom w:color="e2e3e4" w:space="4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7fda6f" w:space="6" w:sz="8" w:val="single"/>
        </w:pBdr>
        <w:spacing w:before="240" w:lineRule="auto"/>
        <w:rPr/>
      </w:pPr>
      <w:r w:rsidDel="00000000" w:rsidR="00000000" w:rsidRPr="00000000">
        <w:rPr>
          <w:color w:val="4a4a4a"/>
          <w:sz w:val="18"/>
          <w:szCs w:val="18"/>
          <w:rtl w:val="0"/>
        </w:rPr>
        <w:t xml:space="preserve">Amtec  |  Building High-Performing Teams Since 1959  |  amtec.us.com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b3e42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b3e42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3b3e42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